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4BF1" w14:textId="77777777" w:rsidR="00530DAF" w:rsidRPr="00530DAF" w:rsidRDefault="00530DAF" w:rsidP="00530DAF">
      <w:pPr>
        <w:shd w:val="clear" w:color="auto" w:fill="FFFFFF"/>
        <w:spacing w:after="0" w:line="291" w:lineRule="atLeast"/>
        <w:outlineLvl w:val="1"/>
        <w:rPr>
          <w:rFonts w:ascii="Helvetica" w:eastAsia="Times New Roman" w:hAnsi="Helvetica" w:cs="Helvetica"/>
          <w:b/>
          <w:bCs/>
          <w:color w:val="0D0D0D"/>
          <w:sz w:val="41"/>
          <w:szCs w:val="41"/>
          <w:lang w:eastAsia="cs-CZ"/>
        </w:rPr>
      </w:pP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41"/>
          <w:szCs w:val="41"/>
          <w:bdr w:val="none" w:sz="0" w:space="0" w:color="auto" w:frame="1"/>
          <w:lang w:eastAsia="cs-CZ"/>
        </w:rPr>
        <w:t>Colombo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41"/>
          <w:szCs w:val="41"/>
          <w:bdr w:val="none" w:sz="0" w:space="0" w:color="auto" w:frame="1"/>
          <w:lang w:eastAsia="cs-CZ"/>
        </w:rPr>
        <w:t xml:space="preserve">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41"/>
          <w:szCs w:val="41"/>
          <w:bdr w:val="none" w:sz="0" w:space="0" w:color="auto" w:frame="1"/>
          <w:lang w:eastAsia="cs-CZ"/>
        </w:rPr>
        <w:t>Alparex</w:t>
      </w:r>
      <w:proofErr w:type="spellEnd"/>
    </w:p>
    <w:p w14:paraId="562A4BF2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BF3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je účinný proti neviditelným parazitům, které způsobují šedý závoj ryb, jako je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Ichtyobodo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(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Costia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),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Chilodinella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,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Trichodina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White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Dot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Přítomnost těchto parazitů může být stanovena pouze pod mikroskopem.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 xml:space="preserve">Mezi příznaky infekce těmito parazity patří bezcitnost, oděr a ztráta chuti k jídlu. Pokud existuje závažná plísňová infekce v kombinaci s výše uvedenými neviditelnými parazity, je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také vhodným řešením.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Aplikace tohoto léku je na vaše vlastní riziko. Kromě rybníka si nejprve přečtěte příbalovou informaci.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Varování: Po použití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flubendazolu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,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mebendazolu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a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triclabendazolu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by měla být před přidáním přípravku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Alparex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do vody provedena 60denní čekací doba.</w:t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br/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br/>
        <w:t xml:space="preserve">Po použití programů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Lernex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a </w:t>
      </w:r>
      <w:proofErr w:type="spellStart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Lernex</w:t>
      </w:r>
      <w:proofErr w:type="spellEnd"/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Pro je čekací doba 14 dní.</w:t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br/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br/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br/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 dispozici v:</w:t>
      </w:r>
    </w:p>
    <w:p w14:paraId="562A4BF4" w14:textId="77777777" w:rsidR="00530DAF" w:rsidRPr="00530DAF" w:rsidRDefault="00530DAF" w:rsidP="0053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250 ml.</w:t>
      </w:r>
    </w:p>
    <w:p w14:paraId="562A4BF5" w14:textId="77777777" w:rsidR="00530DAF" w:rsidRPr="00530DAF" w:rsidRDefault="00530DAF" w:rsidP="0053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500 ml.</w:t>
      </w:r>
    </w:p>
    <w:p w14:paraId="562A4BF6" w14:textId="77777777" w:rsidR="00530DAF" w:rsidRPr="00530DAF" w:rsidRDefault="00530DAF" w:rsidP="0053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1 litr.</w:t>
      </w:r>
    </w:p>
    <w:p w14:paraId="562A4BF7" w14:textId="77777777" w:rsidR="00530DAF" w:rsidRPr="00530DAF" w:rsidRDefault="00530DAF" w:rsidP="0053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2,5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Ltr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.</w:t>
      </w:r>
    </w:p>
    <w:p w14:paraId="562A4BF8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BF9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Rozsáhlé informace / návod k použití:</w:t>
      </w:r>
    </w:p>
    <w:p w14:paraId="562A4BFA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Výpočet obsahu:</w:t>
      </w:r>
    </w:p>
    <w:p w14:paraId="562A4BFB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Vypočítejte co nejvíce obsah rybníka: délka x šířka x průměrná hloubka v decimetrech = obsah v litrech.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530DAF">
        <w:rPr>
          <w:rFonts w:ascii="inherit" w:eastAsia="Times New Roman" w:hAnsi="inherit" w:cs="Arial"/>
          <w:color w:val="0D0D0D"/>
          <w:sz w:val="24"/>
          <w:szCs w:val="24"/>
          <w:bdr w:val="none" w:sz="0" w:space="0" w:color="auto" w:frame="1"/>
          <w:lang w:eastAsia="cs-CZ"/>
        </w:rPr>
        <w:br/>
      </w:r>
    </w:p>
    <w:p w14:paraId="562A4BFC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Kvalita vody:</w:t>
      </w:r>
    </w:p>
    <w:p w14:paraId="562A4BFD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Dobrá kvalita vody je nezbytná pro optimální fungování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rychlé hojení nemocných ryb. Proto vždy před a po ošetření otestujte kvalitu vody a v případě potřeby ji opravte. KH je zvláště důležitý: před zahájením léčby musí být mezi 6 a 8 ° DH.</w:t>
      </w:r>
    </w:p>
    <w:p w14:paraId="562A4BFE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BFF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Dávkování:</w:t>
      </w:r>
    </w:p>
    <w:p w14:paraId="562A4C00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Produkt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musí být podáván ve dvou krocích:</w:t>
      </w:r>
    </w:p>
    <w:p w14:paraId="562A4C01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1. den: 1 ml na 40 litrů rybniční vody nebo 25 ml na 1000 litrů rybniční vody.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2. den: další 1 ml na 40 litrů vody v rybníku nebo 25 ml na 1000 litrů vody v jezírku.</w:t>
      </w:r>
    </w:p>
    <w:p w14:paraId="562A4C02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Součástí balení je odměrka.</w:t>
      </w:r>
    </w:p>
    <w:p w14:paraId="562A4C03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V některých případech jsou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jeseteri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méně schopní tolerovat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. Současně jsou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jeseteri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také méně citliví na parazity, vůči nimž je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díky své tvrdé kůži aktivní. Doporučujeme proto, aby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jeseterové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nebyli léčeni, ale samostatně pouze polovinou dávky (2 dny 1 ml na 80 litrů vody z rybníka namísto 2 dnů 1 ml na 40 litrů). V případě potřeby lze toto ošetření opakovat potřetí ve třetí den.</w:t>
      </w:r>
    </w:p>
    <w:p w14:paraId="562A4C04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lastRenderedPageBreak/>
        <w:t>Změřte požadované množství v odměrce a promíchejte do konve nebo kbelíku s vodou. Poté se rovnoměrně rozloží přes rybník.</w:t>
      </w:r>
    </w:p>
    <w:p w14:paraId="562A4C05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Nefiltrujte přes uhlí nebo zeolit; Udržujte UV lampy a ozonová zařízení vypnutá po dobu 1 týdne po poslední aplikaci.</w:t>
      </w:r>
    </w:p>
    <w:p w14:paraId="562A4C06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C07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Varování:</w:t>
      </w:r>
    </w:p>
    <w:p w14:paraId="562A4C08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nelze kombinovat s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flubendazolem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nebo příbuznými látkami. Pokud byl rybník ošetřen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flubendazolem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nebo podobnými látkami, dodržujte čekací dobu nejméně 4 týdny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a před aplikací změňte 25% vody. Pokud je známo, je tento produkt neškodný vodním živočichům, jako jsou žáby, mloci, humři a hlemýždi. Pokud máte pozitivní nebo negativní zkušenosti, nahlaste nám to na </w:t>
      </w:r>
      <w:hyperlink r:id="rId5" w:tgtFrame="_blank" w:tooltip="Colombo" w:history="1">
        <w:r w:rsidRPr="00530DAF">
          <w:rPr>
            <w:rFonts w:ascii="inherit" w:eastAsia="Times New Roman" w:hAnsi="inherit" w:cs="Helvetica"/>
            <w:b/>
            <w:bCs/>
            <w:color w:val="8E0000"/>
            <w:sz w:val="21"/>
            <w:szCs w:val="21"/>
            <w:u w:val="single"/>
            <w:bdr w:val="none" w:sz="0" w:space="0" w:color="auto" w:frame="1"/>
            <w:lang w:eastAsia="cs-CZ"/>
          </w:rPr>
          <w:t>adrese www.colombo.nl.</w:t>
        </w:r>
      </w:hyperlink>
    </w:p>
    <w:p w14:paraId="562A4C09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Pouze pro použití s ​​okrasnými rybami v rybnících. Uchovávejte při teplotě 4 až 32 ° C v balení a mimo dosah dětí. Nevdechujte. Vyvarujte se kontaktu s kůží a očima. V případě požití okamžitě vyhledejte lékařskou pomoc a ukažte obal nebo štítek. Tento produkt způsobuje trvalé skvrny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na oděvu a dlažbě.</w:t>
      </w:r>
    </w:p>
    <w:p w14:paraId="562A4C0A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C0B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Demolice:</w:t>
      </w:r>
    </w:p>
    <w:p w14:paraId="562A4C0C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Podávané látky v rybnících přirozeně vymizí v důsledku přírodních procesů, jako je oxidace a degradace bakteriemi.</w:t>
      </w:r>
    </w:p>
    <w:p w14:paraId="562A4C0D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C0E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Domácí zvířata a ptáci, kteří pijí z rybníka s těmito zdroji v něm.</w:t>
      </w:r>
    </w:p>
    <w:p w14:paraId="562A4C0F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Zpravidla lze říci, že pokud v ní mohou ryby plavat, je to neškodné pro zvířata, která z ní pouze pijí. Přesto má smysl dávat domácím mazlíčkům, psům a kočkám, kteří jsou zvyklí pít z rybníka, během léčby jen misku vody.</w:t>
      </w:r>
    </w:p>
    <w:p w14:paraId="562A4C10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C11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Kombinace:</w:t>
      </w:r>
    </w:p>
    <w:p w14:paraId="562A4C12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Mezi použitím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Colombo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Algadrex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,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Lernex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,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Cytofex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FMC-50 musí být minimálně 2 týdny. Kombinace s jinými výrobky jsou výslovně na vaše vlastní riziko!</w:t>
      </w:r>
    </w:p>
    <w:p w14:paraId="562A4C13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62A4C14" w14:textId="77777777" w:rsidR="00530DAF" w:rsidRPr="00530DAF" w:rsidRDefault="00530DAF" w:rsidP="00530D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Obecná informace:</w:t>
      </w:r>
    </w:p>
    <w:p w14:paraId="562A4C15" w14:textId="77777777" w:rsidR="00530DAF" w:rsidRPr="00530DAF" w:rsidRDefault="00530DAF" w:rsidP="00530DAF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Bílá skvrna je způsobena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Ichthyophthirius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multifiliis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. Tato nemoc má šanci zejména se sníženou odolností ryb, například po transportu, přeplněnosti, po výměně vody, po umístění nových ryb a podobně. Vidíme bílé tečky postižených ryb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 xml:space="preserve">o velikosti 0,1 až 1 mm, rozprostřené nebo spolu v kůži. Ryby se škrábají na rostliny nebo kameny a někdy se třesou ve vodě (se sevřenými ploutvemi). Po ztrátě velkého množství (dýchacího) povrchu kůže nebo přímém poškození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žiabrů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dochází k </w:t>
      </w:r>
      <w:proofErr w:type="gram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ucpání</w:t>
      </w:r>
      <w:proofErr w:type="gram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nakonec ke smrti.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 xml:space="preserve">U skutečné houby (obvykle způsobené druhem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Saprolegnia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) vidíme vzpřímené nitě, druh „bavlněné vlny“ na kůži a / nebo žábrách ryb. Houba roste povrchně přes kůži, ale může proniknout i hluboko do svalové tkáně a orgánů, kde způsobené poškození nakonec vede k smrti. Svědění může být způsobeno různými parazity, například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Trichodina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,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Ichthyobodo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Chilodonella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. Podobně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Gyrodactylus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(červ červ) a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Dactylogyrus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(červ žábru), ploché sací červi, kteří rostou na 0,3-0,5 mm. Sliznice ryb je hlavní bariérou proti patogenům. Útok jednoho parazita připravuje cestu pro druhého. Často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na kůži se vyskytuje několik druhů současně, zatímco problém může být prohlouben bakteriální infekcí. Rybník má největší problémy na jaře, když teplota začíná stoupat. 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Šedá-bílá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vrstva je vytvořena přes kůži kvůli nadměrné tvorbě hlenu. To je nejjednodušší vidět na očích a při pohledu šikmo na ryby. Ryby se také čistí. Se zhoršováním vidíme načervenalé skvrny, zatímco žábry bobtnají a ryby dýchají rychleji. Vážně postižené ryby jsou bezlisté; leží na dně. 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obsahuje látky, které jsou velmi účinné proti výše uvedeným podmínkám. Navíc má </w:t>
      </w:r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lastRenderedPageBreak/>
        <w:t xml:space="preserve">dezinfekční účinek proti dalším bakteriálním infekcím. Při závažné bakteriální infekci je lepší cíleně pracovat s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Cytofex</w:t>
      </w:r>
      <w:proofErr w:type="spellEnd"/>
      <w:r w:rsidRPr="00530DAF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.</w:t>
      </w:r>
    </w:p>
    <w:p w14:paraId="562A4C16" w14:textId="77777777" w:rsidR="001F1519" w:rsidRDefault="001F1519"/>
    <w:sectPr w:rsidR="001F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346F"/>
    <w:multiLevelType w:val="multilevel"/>
    <w:tmpl w:val="663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67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AF"/>
    <w:rsid w:val="001F1519"/>
    <w:rsid w:val="00530DAF"/>
    <w:rsid w:val="006F6D22"/>
    <w:rsid w:val="00A922DF"/>
    <w:rsid w:val="00A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BF1"/>
  <w15:chartTrackingRefBased/>
  <w15:docId w15:val="{744058E4-DE2C-45BE-9579-22EF1F57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lombo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4405</Characters>
  <Application>Microsoft Office Word</Application>
  <DocSecurity>0</DocSecurity>
  <Lines>102</Lines>
  <Paragraphs>29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Stahl</dc:creator>
  <cp:keywords/>
  <dc:description/>
  <cp:lastModifiedBy>Šárka Stahl</cp:lastModifiedBy>
  <cp:revision>3</cp:revision>
  <cp:lastPrinted>2019-12-08T18:27:00Z</cp:lastPrinted>
  <dcterms:created xsi:type="dcterms:W3CDTF">2019-12-08T18:27:00Z</dcterms:created>
  <dcterms:modified xsi:type="dcterms:W3CDTF">2025-10-30T12:20:00Z</dcterms:modified>
</cp:coreProperties>
</file>